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bookmarkStart w:id="0" w:name="_GoBack"/>
      <w:bookmarkEnd w:id="0"/>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r w:rsidRPr="00016F32">
        <w:rPr>
          <w:rFonts w:ascii="Calibri" w:eastAsia="Calibri" w:hAnsi="Calibri" w:cs="Times New Roman"/>
          <w:noProof/>
          <w:lang w:eastAsia="en-CA"/>
        </w:rPr>
        <w:drawing>
          <wp:inline distT="0" distB="0" distL="0" distR="0" wp14:anchorId="28CCAE35" wp14:editId="4F43FBB3">
            <wp:extent cx="2231136" cy="65836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1136" cy="658368"/>
                    </a:xfrm>
                    <a:prstGeom prst="rect">
                      <a:avLst/>
                    </a:prstGeom>
                    <a:noFill/>
                  </pic:spPr>
                </pic:pic>
              </a:graphicData>
            </a:graphic>
          </wp:inline>
        </w:drawing>
      </w: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96738">
      <w:pPr>
        <w:jc w:val="center"/>
        <w:rPr>
          <w:rFonts w:ascii="Arial" w:hAnsi="Arial" w:cs="Arial"/>
          <w:b/>
          <w:bCs/>
          <w:color w:val="00B050"/>
          <w:sz w:val="52"/>
          <w:szCs w:val="52"/>
        </w:rPr>
      </w:pPr>
      <w:r>
        <w:rPr>
          <w:rFonts w:ascii="Arial" w:hAnsi="Arial" w:cs="Arial"/>
          <w:b/>
          <w:bCs/>
          <w:color w:val="00B050"/>
          <w:sz w:val="52"/>
          <w:szCs w:val="52"/>
        </w:rPr>
        <w:t>Community Living Stormont County Strategic Plan</w:t>
      </w:r>
    </w:p>
    <w:p w:rsidR="00996738" w:rsidRPr="00996738" w:rsidRDefault="00996738" w:rsidP="00996738">
      <w:pPr>
        <w:jc w:val="center"/>
        <w:rPr>
          <w:rFonts w:ascii="Arial" w:hAnsi="Arial" w:cs="Arial"/>
          <w:b/>
          <w:bCs/>
          <w:color w:val="00B050"/>
          <w:sz w:val="52"/>
          <w:szCs w:val="52"/>
        </w:rPr>
      </w:pPr>
      <w:r>
        <w:rPr>
          <w:rFonts w:ascii="Arial" w:hAnsi="Arial" w:cs="Arial"/>
          <w:b/>
          <w:bCs/>
          <w:color w:val="00B050"/>
          <w:sz w:val="52"/>
          <w:szCs w:val="52"/>
        </w:rPr>
        <w:t>2025-2028</w:t>
      </w: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96738" w:rsidRDefault="00996738" w:rsidP="00985EC3">
      <w:pPr>
        <w:rPr>
          <w:rFonts w:ascii="Segoe UI" w:hAnsi="Segoe UI" w:cs="Segoe UI"/>
          <w:b/>
          <w:bCs/>
          <w:color w:val="00B050"/>
        </w:rPr>
      </w:pPr>
    </w:p>
    <w:p w:rsidR="00985EC3" w:rsidRPr="00FF51BD" w:rsidRDefault="00985EC3" w:rsidP="00985EC3">
      <w:pPr>
        <w:rPr>
          <w:rFonts w:ascii="Segoe UI" w:hAnsi="Segoe UI" w:cs="Segoe UI"/>
          <w:b/>
          <w:bCs/>
          <w:color w:val="00B050"/>
        </w:rPr>
      </w:pPr>
      <w:r w:rsidRPr="00FF51BD">
        <w:rPr>
          <w:rFonts w:ascii="Segoe UI" w:hAnsi="Segoe UI" w:cs="Segoe UI"/>
          <w:b/>
          <w:bCs/>
          <w:color w:val="00B050"/>
        </w:rPr>
        <w:lastRenderedPageBreak/>
        <w:t>INTRODUCTION</w:t>
      </w:r>
    </w:p>
    <w:p w:rsidR="00985EC3" w:rsidRDefault="00985EC3" w:rsidP="00985EC3">
      <w:pPr>
        <w:rPr>
          <w:b/>
          <w:bCs/>
        </w:rPr>
      </w:pPr>
    </w:p>
    <w:p w:rsidR="00985EC3" w:rsidRPr="00871DFF" w:rsidRDefault="00985EC3" w:rsidP="00985EC3">
      <w:pPr>
        <w:rPr>
          <w:rFonts w:ascii="Segoe UI" w:hAnsi="Segoe UI" w:cs="Segoe UI"/>
          <w:sz w:val="23"/>
          <w:szCs w:val="23"/>
        </w:rPr>
      </w:pPr>
      <w:r w:rsidRPr="00871DFF">
        <w:rPr>
          <w:rFonts w:ascii="Segoe UI" w:hAnsi="Segoe UI" w:cs="Segoe UI"/>
          <w:sz w:val="23"/>
          <w:szCs w:val="23"/>
        </w:rPr>
        <w:t xml:space="preserve">On Saturday, October 19, 2024, Community Living Stormont County (CLSC) held a one-day </w:t>
      </w:r>
      <w:r>
        <w:rPr>
          <w:rFonts w:ascii="Segoe UI" w:hAnsi="Segoe UI" w:cs="Segoe UI"/>
          <w:sz w:val="23"/>
          <w:szCs w:val="23"/>
        </w:rPr>
        <w:t xml:space="preserve">strategic priority setting </w:t>
      </w:r>
      <w:r w:rsidRPr="00871DFF">
        <w:rPr>
          <w:rFonts w:ascii="Segoe UI" w:hAnsi="Segoe UI" w:cs="Segoe UI"/>
          <w:sz w:val="23"/>
          <w:szCs w:val="23"/>
        </w:rPr>
        <w:t xml:space="preserve">session involving the Board of Directors, the Executive Director, and </w:t>
      </w:r>
      <w:r>
        <w:rPr>
          <w:rFonts w:ascii="Segoe UI" w:hAnsi="Segoe UI" w:cs="Segoe UI"/>
          <w:sz w:val="23"/>
          <w:szCs w:val="23"/>
        </w:rPr>
        <w:t xml:space="preserve">the </w:t>
      </w:r>
      <w:r w:rsidRPr="00871DFF">
        <w:rPr>
          <w:rFonts w:ascii="Segoe UI" w:hAnsi="Segoe UI" w:cs="Segoe UI"/>
          <w:sz w:val="23"/>
          <w:szCs w:val="23"/>
        </w:rPr>
        <w:t>management team.  The session was designed and facilitated by People Minded Business</w:t>
      </w:r>
      <w:r>
        <w:rPr>
          <w:rFonts w:ascii="Segoe UI" w:hAnsi="Segoe UI" w:cs="Segoe UI"/>
          <w:sz w:val="23"/>
          <w:szCs w:val="23"/>
        </w:rPr>
        <w:t xml:space="preserve"> consultants. </w:t>
      </w:r>
      <w:r w:rsidRPr="00871DFF">
        <w:rPr>
          <w:rFonts w:ascii="Segoe UI" w:hAnsi="Segoe UI" w:cs="Segoe UI"/>
          <w:sz w:val="23"/>
          <w:szCs w:val="23"/>
        </w:rPr>
        <w:t xml:space="preserve">The purpose of the day was to have the group review current and emerging societal and developmental services trends and other topics relevant to the organization’s future to determine relevant strategic priorities that when addressed will </w:t>
      </w:r>
      <w:r>
        <w:rPr>
          <w:rFonts w:ascii="Segoe UI" w:hAnsi="Segoe UI" w:cs="Segoe UI"/>
          <w:sz w:val="23"/>
          <w:szCs w:val="23"/>
        </w:rPr>
        <w:t>position</w:t>
      </w:r>
      <w:r w:rsidRPr="00871DFF">
        <w:rPr>
          <w:rFonts w:ascii="Segoe UI" w:hAnsi="Segoe UI" w:cs="Segoe UI"/>
          <w:sz w:val="23"/>
          <w:szCs w:val="23"/>
        </w:rPr>
        <w:t xml:space="preserve"> CLSC for success and sustainability moving forward. Importantly, the group also identified CLSC’s many assets and strengths, </w:t>
      </w:r>
      <w:r>
        <w:rPr>
          <w:rFonts w:ascii="Segoe UI" w:hAnsi="Segoe UI" w:cs="Segoe UI"/>
          <w:sz w:val="23"/>
          <w:szCs w:val="23"/>
        </w:rPr>
        <w:t xml:space="preserve">that will be tapped into to keep momentum moving forward. </w:t>
      </w:r>
      <w:r w:rsidRPr="00871DFF">
        <w:rPr>
          <w:rFonts w:ascii="Segoe UI" w:hAnsi="Segoe UI" w:cs="Segoe UI"/>
          <w:sz w:val="23"/>
          <w:szCs w:val="23"/>
        </w:rPr>
        <w:t>Setting aside time to think about and discuss where to direct the organization’s resources was intentional</w:t>
      </w:r>
      <w:r>
        <w:rPr>
          <w:rFonts w:ascii="Segoe UI" w:hAnsi="Segoe UI" w:cs="Segoe UI"/>
          <w:sz w:val="23"/>
          <w:szCs w:val="23"/>
        </w:rPr>
        <w:t>ly</w:t>
      </w:r>
      <w:r w:rsidRPr="00871DFF">
        <w:rPr>
          <w:rFonts w:ascii="Segoe UI" w:hAnsi="Segoe UI" w:cs="Segoe UI"/>
          <w:sz w:val="23"/>
          <w:szCs w:val="23"/>
        </w:rPr>
        <w:t xml:space="preserve"> timely, as the DS sector is going through significant reform which involves a</w:t>
      </w:r>
      <w:r>
        <w:rPr>
          <w:rFonts w:ascii="Segoe UI" w:hAnsi="Segoe UI" w:cs="Segoe UI"/>
          <w:sz w:val="23"/>
          <w:szCs w:val="23"/>
        </w:rPr>
        <w:t>ssessing</w:t>
      </w:r>
      <w:r w:rsidRPr="00871DFF">
        <w:rPr>
          <w:rFonts w:ascii="Segoe UI" w:hAnsi="Segoe UI" w:cs="Segoe UI"/>
          <w:sz w:val="23"/>
          <w:szCs w:val="23"/>
        </w:rPr>
        <w:t xml:space="preserve"> the way</w:t>
      </w:r>
      <w:r>
        <w:rPr>
          <w:rFonts w:ascii="Segoe UI" w:hAnsi="Segoe UI" w:cs="Segoe UI"/>
          <w:sz w:val="23"/>
          <w:szCs w:val="23"/>
        </w:rPr>
        <w:t>s</w:t>
      </w:r>
      <w:r w:rsidRPr="00871DFF">
        <w:rPr>
          <w:rFonts w:ascii="Segoe UI" w:hAnsi="Segoe UI" w:cs="Segoe UI"/>
          <w:sz w:val="23"/>
          <w:szCs w:val="23"/>
        </w:rPr>
        <w:t xml:space="preserve"> in which CLSC </w:t>
      </w:r>
      <w:r>
        <w:rPr>
          <w:rFonts w:ascii="Segoe UI" w:hAnsi="Segoe UI" w:cs="Segoe UI"/>
          <w:sz w:val="23"/>
          <w:szCs w:val="23"/>
        </w:rPr>
        <w:t>ought to be</w:t>
      </w:r>
      <w:r w:rsidRPr="00871DFF">
        <w:rPr>
          <w:rFonts w:ascii="Segoe UI" w:hAnsi="Segoe UI" w:cs="Segoe UI"/>
          <w:sz w:val="23"/>
          <w:szCs w:val="23"/>
        </w:rPr>
        <w:t xml:space="preserve"> structured and operate</w:t>
      </w:r>
      <w:r>
        <w:rPr>
          <w:rFonts w:ascii="Segoe UI" w:hAnsi="Segoe UI" w:cs="Segoe UI"/>
          <w:sz w:val="23"/>
          <w:szCs w:val="23"/>
        </w:rPr>
        <w:t xml:space="preserve"> to</w:t>
      </w:r>
      <w:r w:rsidRPr="00871DFF">
        <w:rPr>
          <w:rFonts w:ascii="Segoe UI" w:hAnsi="Segoe UI" w:cs="Segoe UI"/>
          <w:sz w:val="23"/>
          <w:szCs w:val="23"/>
        </w:rPr>
        <w:t xml:space="preserve"> align with its primary funder, the Ministry of Children and Community Social Services’ Journey to Belonging framework.</w:t>
      </w:r>
    </w:p>
    <w:p w:rsidR="00985EC3" w:rsidRDefault="00985EC3" w:rsidP="00985EC3">
      <w:pPr>
        <w:rPr>
          <w:rFonts w:ascii="Segoe UI" w:hAnsi="Segoe UI" w:cs="Segoe UI"/>
          <w:b/>
          <w:bCs/>
          <w:color w:val="00B050"/>
        </w:rPr>
      </w:pPr>
    </w:p>
    <w:p w:rsidR="00985EC3" w:rsidRDefault="00985EC3" w:rsidP="00985EC3">
      <w:pPr>
        <w:rPr>
          <w:rFonts w:ascii="Segoe UI" w:hAnsi="Segoe UI" w:cs="Segoe UI"/>
          <w:b/>
          <w:bCs/>
          <w:color w:val="00B050"/>
        </w:rPr>
      </w:pPr>
    </w:p>
    <w:p w:rsidR="00985EC3" w:rsidRDefault="00985EC3" w:rsidP="00985EC3">
      <w:pPr>
        <w:rPr>
          <w:rFonts w:ascii="Segoe UI" w:hAnsi="Segoe UI" w:cs="Segoe UI"/>
          <w:b/>
          <w:bCs/>
          <w:color w:val="00B050"/>
        </w:rPr>
      </w:pPr>
      <w:r w:rsidRPr="007B2EEB">
        <w:rPr>
          <w:rFonts w:ascii="Segoe UI" w:hAnsi="Segoe UI" w:cs="Segoe UI"/>
          <w:b/>
          <w:bCs/>
          <w:color w:val="00B050"/>
        </w:rPr>
        <w:t xml:space="preserve">STRATEGIC PRIORITIES </w:t>
      </w:r>
      <w:r>
        <w:rPr>
          <w:rFonts w:ascii="Segoe UI" w:hAnsi="Segoe UI" w:cs="Segoe UI"/>
          <w:b/>
          <w:bCs/>
          <w:color w:val="00B050"/>
        </w:rPr>
        <w:t>AND</w:t>
      </w:r>
      <w:r w:rsidRPr="007B2EEB">
        <w:rPr>
          <w:rFonts w:ascii="Segoe UI" w:hAnsi="Segoe UI" w:cs="Segoe UI"/>
          <w:b/>
          <w:bCs/>
          <w:color w:val="00B050"/>
        </w:rPr>
        <w:t xml:space="preserve"> RELATED GOALS </w:t>
      </w:r>
    </w:p>
    <w:p w:rsidR="00985EC3" w:rsidRDefault="00985EC3" w:rsidP="00985EC3">
      <w:pPr>
        <w:rPr>
          <w:rFonts w:ascii="Segoe UI" w:hAnsi="Segoe UI" w:cs="Segoe UI"/>
          <w:b/>
          <w:bCs/>
          <w:color w:val="00B050"/>
        </w:rPr>
      </w:pPr>
    </w:p>
    <w:p w:rsidR="00985EC3" w:rsidRDefault="00985EC3" w:rsidP="00985EC3">
      <w:pPr>
        <w:rPr>
          <w:rFonts w:ascii="Segoe UI" w:hAnsi="Segoe UI" w:cs="Segoe UI"/>
          <w:b/>
          <w:bCs/>
          <w:color w:val="000000" w:themeColor="text1"/>
        </w:rPr>
      </w:pPr>
      <w:r>
        <w:rPr>
          <w:rFonts w:ascii="Segoe UI" w:hAnsi="Segoe UI" w:cs="Segoe UI"/>
          <w:b/>
          <w:bCs/>
          <w:color w:val="000000" w:themeColor="text1"/>
        </w:rPr>
        <w:t>Strengthen Capacity and Capabilities to Ready CLSC for DS Reform</w:t>
      </w:r>
    </w:p>
    <w:p w:rsidR="00985EC3" w:rsidRPr="00B36B72" w:rsidRDefault="00985EC3" w:rsidP="00985EC3">
      <w:pPr>
        <w:pStyle w:val="ListParagraph"/>
        <w:numPr>
          <w:ilvl w:val="0"/>
          <w:numId w:val="1"/>
        </w:numPr>
        <w:rPr>
          <w:rFonts w:ascii="Segoe UI" w:hAnsi="Segoe UI" w:cs="Segoe UI"/>
          <w:b/>
          <w:bCs/>
          <w:color w:val="000000" w:themeColor="text1"/>
        </w:rPr>
      </w:pPr>
      <w:r>
        <w:rPr>
          <w:rFonts w:ascii="Segoe UI" w:hAnsi="Segoe UI" w:cs="Segoe UI"/>
          <w:color w:val="000000" w:themeColor="text1"/>
        </w:rPr>
        <w:t>Educate all employees, unions, families, and people supported about MCCSS Developmental Services Reform ~ Journey to Belonging and ways CLCS will align supports and services for positive impacts.</w:t>
      </w:r>
    </w:p>
    <w:p w:rsidR="00985EC3" w:rsidRPr="00487B53" w:rsidRDefault="00985EC3" w:rsidP="00985EC3">
      <w:pPr>
        <w:pStyle w:val="ListParagraph"/>
        <w:numPr>
          <w:ilvl w:val="0"/>
          <w:numId w:val="1"/>
        </w:numPr>
        <w:rPr>
          <w:rFonts w:ascii="Segoe UI" w:hAnsi="Segoe UI" w:cs="Segoe UI"/>
          <w:b/>
          <w:bCs/>
          <w:color w:val="000000" w:themeColor="text1"/>
        </w:rPr>
      </w:pPr>
      <w:r>
        <w:rPr>
          <w:rFonts w:ascii="Segoe UI" w:hAnsi="Segoe UI" w:cs="Segoe UI"/>
          <w:color w:val="000000" w:themeColor="text1"/>
        </w:rPr>
        <w:t>Involve employees across CLSC in co-designing needed improvements to internal operations.</w:t>
      </w:r>
    </w:p>
    <w:p w:rsidR="00985EC3" w:rsidRPr="00E54358" w:rsidRDefault="00985EC3" w:rsidP="00985EC3">
      <w:pPr>
        <w:pStyle w:val="ListParagraph"/>
        <w:numPr>
          <w:ilvl w:val="0"/>
          <w:numId w:val="1"/>
        </w:numPr>
        <w:rPr>
          <w:rFonts w:ascii="Segoe UI" w:hAnsi="Segoe UI" w:cs="Segoe UI"/>
          <w:b/>
          <w:bCs/>
          <w:color w:val="000000" w:themeColor="text1"/>
        </w:rPr>
      </w:pPr>
      <w:r>
        <w:rPr>
          <w:rFonts w:ascii="Segoe UI" w:hAnsi="Segoe UI" w:cs="Segoe UI"/>
          <w:color w:val="000000" w:themeColor="text1"/>
        </w:rPr>
        <w:t>Engage in marketing, communications, and public relations to ensure CLSC is known and well positioned as a preferred service provider in Stormont County.</w:t>
      </w:r>
    </w:p>
    <w:p w:rsidR="00985EC3" w:rsidRDefault="00985EC3" w:rsidP="00985EC3">
      <w:pPr>
        <w:rPr>
          <w:rFonts w:ascii="Segoe UI" w:hAnsi="Segoe UI" w:cs="Segoe UI"/>
          <w:b/>
          <w:bCs/>
          <w:color w:val="000000" w:themeColor="text1"/>
        </w:rPr>
      </w:pPr>
    </w:p>
    <w:p w:rsidR="00985EC3" w:rsidRDefault="00985EC3" w:rsidP="00985EC3">
      <w:pPr>
        <w:rPr>
          <w:rFonts w:ascii="Segoe UI" w:hAnsi="Segoe UI" w:cs="Segoe UI"/>
          <w:b/>
          <w:bCs/>
          <w:color w:val="000000" w:themeColor="text1"/>
        </w:rPr>
      </w:pPr>
      <w:r>
        <w:rPr>
          <w:rFonts w:ascii="Segoe UI" w:hAnsi="Segoe UI" w:cs="Segoe UI"/>
          <w:b/>
          <w:bCs/>
          <w:color w:val="000000" w:themeColor="text1"/>
        </w:rPr>
        <w:t>Build a Skilled and Sustainable Workforce for the Future</w:t>
      </w:r>
    </w:p>
    <w:p w:rsidR="00985EC3" w:rsidRPr="00C44849" w:rsidRDefault="00985EC3" w:rsidP="00985EC3">
      <w:pPr>
        <w:pStyle w:val="ListParagraph"/>
        <w:numPr>
          <w:ilvl w:val="0"/>
          <w:numId w:val="2"/>
        </w:numPr>
        <w:rPr>
          <w:rFonts w:ascii="Segoe UI" w:hAnsi="Segoe UI" w:cs="Segoe UI"/>
          <w:color w:val="000000" w:themeColor="text1"/>
        </w:rPr>
      </w:pPr>
      <w:r>
        <w:rPr>
          <w:rFonts w:ascii="Segoe UI" w:hAnsi="Segoe UI" w:cs="Segoe UI"/>
          <w:color w:val="000000" w:themeColor="text1"/>
        </w:rPr>
        <w:t>Develop a formal succession and knowledge transfer plan.</w:t>
      </w:r>
    </w:p>
    <w:p w:rsidR="00985EC3" w:rsidRDefault="00985EC3" w:rsidP="00985EC3">
      <w:pPr>
        <w:pStyle w:val="ListParagraph"/>
        <w:numPr>
          <w:ilvl w:val="0"/>
          <w:numId w:val="2"/>
        </w:numPr>
        <w:rPr>
          <w:rFonts w:ascii="Segoe UI" w:hAnsi="Segoe UI" w:cs="Segoe UI"/>
          <w:color w:val="000000" w:themeColor="text1"/>
        </w:rPr>
      </w:pPr>
      <w:r>
        <w:rPr>
          <w:rFonts w:ascii="Segoe UI" w:hAnsi="Segoe UI" w:cs="Segoe UI"/>
          <w:color w:val="000000" w:themeColor="text1"/>
        </w:rPr>
        <w:t>Continue to explore creative ways to recruit, retain, and train employees.</w:t>
      </w:r>
    </w:p>
    <w:p w:rsidR="00985EC3" w:rsidRDefault="00985EC3" w:rsidP="00985EC3">
      <w:pPr>
        <w:pStyle w:val="ListParagraph"/>
        <w:numPr>
          <w:ilvl w:val="0"/>
          <w:numId w:val="2"/>
        </w:numPr>
        <w:rPr>
          <w:rFonts w:ascii="Segoe UI" w:hAnsi="Segoe UI" w:cs="Segoe UI"/>
          <w:color w:val="000000" w:themeColor="text1"/>
        </w:rPr>
      </w:pPr>
      <w:r>
        <w:rPr>
          <w:rFonts w:ascii="Segoe UI" w:hAnsi="Segoe UI" w:cs="Segoe UI"/>
          <w:color w:val="000000" w:themeColor="text1"/>
        </w:rPr>
        <w:t>Apply a diversity, equity, and inclusion lens when recruiting new employees and training all.</w:t>
      </w:r>
    </w:p>
    <w:p w:rsidR="00985EC3" w:rsidRDefault="00985EC3" w:rsidP="00985EC3">
      <w:pPr>
        <w:pStyle w:val="ListParagraph"/>
        <w:numPr>
          <w:ilvl w:val="0"/>
          <w:numId w:val="2"/>
        </w:numPr>
        <w:rPr>
          <w:rFonts w:ascii="Segoe UI" w:hAnsi="Segoe UI" w:cs="Segoe UI"/>
          <w:color w:val="000000" w:themeColor="text1"/>
        </w:rPr>
      </w:pPr>
      <w:r>
        <w:rPr>
          <w:rFonts w:ascii="Segoe UI" w:hAnsi="Segoe UI" w:cs="Segoe UI"/>
          <w:color w:val="000000" w:themeColor="text1"/>
        </w:rPr>
        <w:t xml:space="preserve">Use technology to support the effectiveness and efficiencies of CLSC’s work. </w:t>
      </w:r>
    </w:p>
    <w:p w:rsidR="00985EC3" w:rsidRDefault="00985EC3" w:rsidP="00985EC3">
      <w:pPr>
        <w:rPr>
          <w:rFonts w:ascii="Segoe UI" w:hAnsi="Segoe UI" w:cs="Segoe UI"/>
          <w:color w:val="000000" w:themeColor="text1"/>
        </w:rPr>
      </w:pPr>
    </w:p>
    <w:p w:rsidR="00985EC3" w:rsidRDefault="00985EC3" w:rsidP="00985EC3">
      <w:pPr>
        <w:rPr>
          <w:rFonts w:ascii="Segoe UI" w:hAnsi="Segoe UI" w:cs="Segoe UI"/>
          <w:b/>
          <w:bCs/>
          <w:color w:val="000000" w:themeColor="text1"/>
        </w:rPr>
      </w:pPr>
      <w:r>
        <w:rPr>
          <w:rFonts w:ascii="Segoe UI" w:hAnsi="Segoe UI" w:cs="Segoe UI"/>
          <w:b/>
          <w:bCs/>
          <w:color w:val="000000" w:themeColor="text1"/>
        </w:rPr>
        <w:t>Expand Funding Streams for Long-Term Sustainability</w:t>
      </w:r>
    </w:p>
    <w:p w:rsidR="00985EC3" w:rsidRDefault="00985EC3" w:rsidP="00985EC3">
      <w:pPr>
        <w:pStyle w:val="ListParagraph"/>
        <w:numPr>
          <w:ilvl w:val="0"/>
          <w:numId w:val="3"/>
        </w:numPr>
        <w:rPr>
          <w:rFonts w:ascii="Segoe UI" w:hAnsi="Segoe UI" w:cs="Segoe UI"/>
          <w:color w:val="000000" w:themeColor="text1"/>
        </w:rPr>
      </w:pPr>
      <w:r>
        <w:rPr>
          <w:rFonts w:ascii="Segoe UI" w:hAnsi="Segoe UI" w:cs="Segoe UI"/>
          <w:color w:val="000000" w:themeColor="text1"/>
        </w:rPr>
        <w:t>Devise strategies to increase passport funding utilization and private fee-for-service.</w:t>
      </w:r>
    </w:p>
    <w:p w:rsidR="00985EC3" w:rsidRDefault="00985EC3" w:rsidP="00985EC3">
      <w:pPr>
        <w:pStyle w:val="ListParagraph"/>
        <w:numPr>
          <w:ilvl w:val="0"/>
          <w:numId w:val="3"/>
        </w:numPr>
        <w:rPr>
          <w:rFonts w:ascii="Segoe UI" w:hAnsi="Segoe UI" w:cs="Segoe UI"/>
          <w:color w:val="000000" w:themeColor="text1"/>
        </w:rPr>
      </w:pPr>
      <w:r>
        <w:rPr>
          <w:rFonts w:ascii="Segoe UI" w:hAnsi="Segoe UI" w:cs="Segoe UI"/>
          <w:color w:val="000000" w:themeColor="text1"/>
        </w:rPr>
        <w:t>Explore a social enterprise start-up that aligns with the interests of people receiving supports.</w:t>
      </w:r>
    </w:p>
    <w:p w:rsidR="00985EC3" w:rsidRDefault="00985EC3" w:rsidP="00985EC3">
      <w:pPr>
        <w:pStyle w:val="ListParagraph"/>
        <w:numPr>
          <w:ilvl w:val="0"/>
          <w:numId w:val="3"/>
        </w:numPr>
        <w:rPr>
          <w:rFonts w:ascii="Segoe UI" w:hAnsi="Segoe UI" w:cs="Segoe UI"/>
          <w:color w:val="000000" w:themeColor="text1"/>
        </w:rPr>
      </w:pPr>
      <w:r>
        <w:rPr>
          <w:rFonts w:ascii="Segoe UI" w:hAnsi="Segoe UI" w:cs="Segoe UI"/>
          <w:color w:val="000000" w:themeColor="text1"/>
        </w:rPr>
        <w:t>Engage in additional fundraising.</w:t>
      </w:r>
    </w:p>
    <w:p w:rsidR="00985EC3" w:rsidRDefault="00985EC3" w:rsidP="00985EC3">
      <w:pPr>
        <w:pStyle w:val="ListParagraph"/>
        <w:numPr>
          <w:ilvl w:val="0"/>
          <w:numId w:val="3"/>
        </w:numPr>
        <w:rPr>
          <w:rFonts w:ascii="Segoe UI" w:hAnsi="Segoe UI" w:cs="Segoe UI"/>
          <w:color w:val="000000" w:themeColor="text1"/>
        </w:rPr>
      </w:pPr>
      <w:r>
        <w:rPr>
          <w:rFonts w:ascii="Segoe UI" w:hAnsi="Segoe UI" w:cs="Segoe UI"/>
          <w:color w:val="000000" w:themeColor="text1"/>
        </w:rPr>
        <w:lastRenderedPageBreak/>
        <w:t>Seek out a wide range of grant opportunities.</w:t>
      </w:r>
    </w:p>
    <w:p w:rsidR="00985EC3" w:rsidRDefault="00985EC3" w:rsidP="00985EC3">
      <w:pPr>
        <w:rPr>
          <w:rFonts w:ascii="Segoe UI" w:hAnsi="Segoe UI" w:cs="Segoe UI"/>
          <w:color w:val="000000" w:themeColor="text1"/>
        </w:rPr>
      </w:pPr>
    </w:p>
    <w:p w:rsidR="00985EC3" w:rsidRDefault="00985EC3" w:rsidP="00985EC3">
      <w:pPr>
        <w:rPr>
          <w:rFonts w:ascii="Segoe UI" w:hAnsi="Segoe UI" w:cs="Segoe UI"/>
          <w:b/>
          <w:bCs/>
          <w:color w:val="000000" w:themeColor="text1"/>
        </w:rPr>
      </w:pPr>
      <w:r w:rsidRPr="00C32ADD">
        <w:rPr>
          <w:rFonts w:ascii="Segoe UI" w:hAnsi="Segoe UI" w:cs="Segoe UI"/>
          <w:b/>
          <w:bCs/>
          <w:color w:val="000000" w:themeColor="text1"/>
        </w:rPr>
        <w:t>Advance Current Service Offerings</w:t>
      </w:r>
      <w:r>
        <w:rPr>
          <w:rFonts w:ascii="Segoe UI" w:hAnsi="Segoe UI" w:cs="Segoe UI"/>
          <w:b/>
          <w:bCs/>
          <w:color w:val="000000" w:themeColor="text1"/>
        </w:rPr>
        <w:t xml:space="preserve"> to Meet Current and Emerging Needs</w:t>
      </w:r>
    </w:p>
    <w:p w:rsidR="00985EC3" w:rsidRPr="008A2B55" w:rsidRDefault="00985EC3" w:rsidP="00985EC3">
      <w:pPr>
        <w:pStyle w:val="ListParagraph"/>
        <w:numPr>
          <w:ilvl w:val="0"/>
          <w:numId w:val="4"/>
        </w:numPr>
        <w:rPr>
          <w:rFonts w:ascii="Segoe UI" w:hAnsi="Segoe UI" w:cs="Segoe UI"/>
          <w:b/>
          <w:bCs/>
          <w:color w:val="000000" w:themeColor="text1"/>
        </w:rPr>
      </w:pPr>
      <w:r>
        <w:rPr>
          <w:rFonts w:ascii="Segoe UI" w:hAnsi="Segoe UI" w:cs="Segoe UI"/>
          <w:color w:val="000000" w:themeColor="text1"/>
        </w:rPr>
        <w:t>With the direct involvement of people and families, explore and pilot:</w:t>
      </w:r>
    </w:p>
    <w:p w:rsidR="00985EC3" w:rsidRPr="00101234" w:rsidRDefault="00985EC3" w:rsidP="00985EC3">
      <w:pPr>
        <w:pStyle w:val="ListParagraph"/>
        <w:numPr>
          <w:ilvl w:val="1"/>
          <w:numId w:val="5"/>
        </w:numPr>
        <w:rPr>
          <w:rFonts w:ascii="Segoe UI" w:hAnsi="Segoe UI" w:cs="Segoe UI"/>
          <w:b/>
          <w:bCs/>
          <w:color w:val="000000" w:themeColor="text1"/>
        </w:rPr>
      </w:pPr>
      <w:r>
        <w:rPr>
          <w:rFonts w:ascii="Segoe UI" w:hAnsi="Segoe UI" w:cs="Segoe UI"/>
          <w:color w:val="000000" w:themeColor="text1"/>
        </w:rPr>
        <w:t>New housing arrangements</w:t>
      </w:r>
    </w:p>
    <w:p w:rsidR="00985EC3" w:rsidRPr="00101234" w:rsidRDefault="00985EC3" w:rsidP="00985EC3">
      <w:pPr>
        <w:pStyle w:val="ListParagraph"/>
        <w:numPr>
          <w:ilvl w:val="1"/>
          <w:numId w:val="5"/>
        </w:numPr>
        <w:rPr>
          <w:rFonts w:ascii="Segoe UI" w:hAnsi="Segoe UI" w:cs="Segoe UI"/>
          <w:b/>
          <w:bCs/>
          <w:color w:val="000000" w:themeColor="text1"/>
        </w:rPr>
      </w:pPr>
      <w:r>
        <w:rPr>
          <w:rFonts w:ascii="Segoe UI" w:hAnsi="Segoe UI" w:cs="Segoe UI"/>
          <w:color w:val="000000" w:themeColor="text1"/>
        </w:rPr>
        <w:t>Innovative respite/short break options</w:t>
      </w:r>
    </w:p>
    <w:p w:rsidR="00985EC3" w:rsidRPr="007821A2" w:rsidRDefault="00985EC3" w:rsidP="00985EC3">
      <w:pPr>
        <w:pStyle w:val="ListParagraph"/>
        <w:numPr>
          <w:ilvl w:val="1"/>
          <w:numId w:val="5"/>
        </w:numPr>
        <w:rPr>
          <w:rFonts w:ascii="Segoe UI" w:hAnsi="Segoe UI" w:cs="Segoe UI"/>
          <w:b/>
          <w:bCs/>
          <w:color w:val="000000" w:themeColor="text1"/>
        </w:rPr>
      </w:pPr>
      <w:r>
        <w:rPr>
          <w:rFonts w:ascii="Segoe UI" w:hAnsi="Segoe UI" w:cs="Segoe UI"/>
          <w:color w:val="000000" w:themeColor="text1"/>
        </w:rPr>
        <w:t>Partnering opportunities.</w:t>
      </w:r>
    </w:p>
    <w:p w:rsidR="005A18D8" w:rsidRDefault="005A18D8"/>
    <w:sectPr w:rsidR="005A18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693E"/>
    <w:multiLevelType w:val="hybridMultilevel"/>
    <w:tmpl w:val="80A47688"/>
    <w:lvl w:ilvl="0" w:tplc="F0465B46">
      <w:start w:val="1"/>
      <w:numFmt w:val="bullet"/>
      <w:lvlText w:val=""/>
      <w:lvlJc w:val="left"/>
      <w:pPr>
        <w:ind w:left="72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B3245"/>
    <w:multiLevelType w:val="hybridMultilevel"/>
    <w:tmpl w:val="AEA80890"/>
    <w:lvl w:ilvl="0" w:tplc="F0465B46">
      <w:start w:val="1"/>
      <w:numFmt w:val="bullet"/>
      <w:lvlText w:val=""/>
      <w:lvlJc w:val="left"/>
      <w:pPr>
        <w:ind w:left="720" w:hanging="360"/>
      </w:pPr>
      <w:rPr>
        <w:rFonts w:ascii="Symbol" w:hAnsi="Symbol" w:hint="default"/>
        <w:color w:val="70AD47" w:themeColor="accent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A5CCB"/>
    <w:multiLevelType w:val="hybridMultilevel"/>
    <w:tmpl w:val="D90C5454"/>
    <w:lvl w:ilvl="0" w:tplc="FFFFFFFF">
      <w:start w:val="1"/>
      <w:numFmt w:val="bullet"/>
      <w:lvlText w:val=""/>
      <w:lvlJc w:val="left"/>
      <w:pPr>
        <w:ind w:left="720" w:hanging="360"/>
      </w:pPr>
      <w:rPr>
        <w:rFonts w:ascii="Symbol" w:hAnsi="Symbol" w:hint="default"/>
        <w:color w:val="70AD47" w:themeColor="accent6"/>
      </w:rPr>
    </w:lvl>
    <w:lvl w:ilvl="1" w:tplc="F894E072">
      <w:start w:val="1"/>
      <w:numFmt w:val="bullet"/>
      <w:lvlText w:val="o"/>
      <w:lvlJc w:val="left"/>
      <w:pPr>
        <w:ind w:left="1440" w:hanging="360"/>
      </w:pPr>
      <w:rPr>
        <w:rFonts w:ascii="Courier New" w:hAnsi="Courier New" w:hint="default"/>
        <w:color w:val="00B05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6F4B84"/>
    <w:multiLevelType w:val="hybridMultilevel"/>
    <w:tmpl w:val="9A622BC2"/>
    <w:lvl w:ilvl="0" w:tplc="F0465B46">
      <w:start w:val="1"/>
      <w:numFmt w:val="bullet"/>
      <w:lvlText w:val=""/>
      <w:lvlJc w:val="left"/>
      <w:pPr>
        <w:ind w:left="72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A2F63"/>
    <w:multiLevelType w:val="hybridMultilevel"/>
    <w:tmpl w:val="376A50A2"/>
    <w:lvl w:ilvl="0" w:tplc="F0465B46">
      <w:start w:val="1"/>
      <w:numFmt w:val="bullet"/>
      <w:lvlText w:val=""/>
      <w:lvlJc w:val="left"/>
      <w:pPr>
        <w:ind w:left="72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C3"/>
    <w:rsid w:val="005A18D8"/>
    <w:rsid w:val="00985EC3"/>
    <w:rsid w:val="00996738"/>
    <w:rsid w:val="00B04AC0"/>
    <w:rsid w:val="00D730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D843"/>
  <w15:chartTrackingRefBased/>
  <w15:docId w15:val="{C628FAB7-3B8F-4F9C-A5F8-CA7EF409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5EC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4A8D-1AAD-4D66-AD1D-B69F870E0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Alguire</dc:creator>
  <cp:keywords/>
  <dc:description/>
  <cp:lastModifiedBy>Christine Leroux</cp:lastModifiedBy>
  <cp:revision>3</cp:revision>
  <dcterms:created xsi:type="dcterms:W3CDTF">2025-07-31T15:36:00Z</dcterms:created>
  <dcterms:modified xsi:type="dcterms:W3CDTF">2025-08-22T13:53:00Z</dcterms:modified>
</cp:coreProperties>
</file>